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after="0" w:line="276" w:lineRule="auto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             ČESTO POSTAVLJANJA PITANJA</w:t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after="0" w:line="276" w:lineRule="auto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hd w:fill="ffffff" w:val="clear"/>
        <w:spacing w:after="0" w:line="276" w:lineRule="auto"/>
        <w:ind w:left="720" w:hanging="360"/>
        <w:rPr>
          <w:rFonts w:ascii="Arial" w:cs="Arial" w:eastAsia="Arial" w:hAnsi="Arial"/>
          <w:b w:val="1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sz w:val="19"/>
          <w:szCs w:val="19"/>
          <w:rtl w:val="0"/>
        </w:rPr>
        <w:t xml:space="preserve">Da li organizacija koja je aktivni korisnik granta kod NKD-a, može konkurisati za institucionalnu podršku? 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hd w:fill="ffffff" w:val="clear"/>
        <w:spacing w:after="0" w:line="276" w:lineRule="auto"/>
        <w:ind w:left="720" w:hanging="360"/>
        <w:rPr>
          <w:rFonts w:ascii="Arial" w:cs="Arial" w:eastAsia="Arial" w:hAnsi="Arial"/>
          <w:sz w:val="19"/>
          <w:szCs w:val="19"/>
          <w:u w:val="no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Odgovor: Da, u suštini ne postoje administrativne prepreke da organizacija koja je aktivni korisnik granta kod NKD-a konkuriše za institucionalnu podršku.</w:t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after="0" w:line="276" w:lineRule="auto"/>
        <w:ind w:left="720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hd w:fill="ffffff" w:val="clear"/>
        <w:spacing w:after="0" w:line="276" w:lineRule="auto"/>
        <w:ind w:left="720" w:hanging="360"/>
        <w:rPr>
          <w:rFonts w:ascii="Arial" w:cs="Arial" w:eastAsia="Arial" w:hAnsi="Arial"/>
          <w:b w:val="1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sz w:val="19"/>
          <w:szCs w:val="19"/>
          <w:rtl w:val="0"/>
        </w:rPr>
        <w:t xml:space="preserve">Da li program institucionalne podrške podrazumeva podršku ženskim inicijativama?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hd w:fill="ffffff" w:val="clear"/>
        <w:spacing w:after="0" w:line="276" w:lineRule="auto"/>
        <w:ind w:left="720" w:hanging="360"/>
        <w:rPr>
          <w:rFonts w:ascii="Arial" w:cs="Arial" w:eastAsia="Arial" w:hAnsi="Arial"/>
          <w:sz w:val="19"/>
          <w:szCs w:val="19"/>
          <w:u w:val="no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Odgovor: Da. Program institucionalne podrške podrazumeva podršku organizacijama u razvoju i unapređivanju sopstvenih praksi koje već sprovode u okviru svojih aktivnosti u zajednici. Neophodno je da projektna inicijativa bude u skladu sa postavljenim ciljevima i zahtevima samog KONKURSA. </w:t>
      </w:r>
    </w:p>
    <w:p w:rsidR="00000000" w:rsidDel="00000000" w:rsidP="00000000" w:rsidRDefault="00000000" w:rsidRPr="00000000" w14:paraId="00000009">
      <w:pPr>
        <w:widowControl w:val="0"/>
        <w:shd w:fill="ffffff" w:val="clear"/>
        <w:spacing w:after="0" w:line="276" w:lineRule="auto"/>
        <w:ind w:left="720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hd w:fill="ffffff" w:val="clear"/>
        <w:spacing w:after="0" w:line="276" w:lineRule="auto"/>
        <w:ind w:left="720" w:hanging="360"/>
        <w:rPr>
          <w:rFonts w:ascii="Arial" w:cs="Arial" w:eastAsia="Arial" w:hAnsi="Arial"/>
          <w:sz w:val="19"/>
          <w:szCs w:val="19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19"/>
          <w:szCs w:val="19"/>
          <w:rtl w:val="0"/>
        </w:rPr>
        <w:t xml:space="preserve">Da li je neophodno da projektni predlog sadrži potpuno izrađenu javnu politiku, ili je dovoljno samo dati ključne informacije o javnoj politici?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hd w:fill="ffffff" w:val="clear"/>
        <w:spacing w:after="0" w:line="276" w:lineRule="auto"/>
        <w:ind w:left="720" w:hanging="360"/>
        <w:rPr>
          <w:rFonts w:ascii="Arial" w:cs="Arial" w:eastAsia="Arial" w:hAnsi="Arial"/>
          <w:sz w:val="19"/>
          <w:szCs w:val="19"/>
          <w:u w:val="no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Odgovor: Projektni predlog ne mora da sadrži potpuno izrađenu javnu politiku, već je dovoljno samo dati ključne informacije o javnoj politici, s obzirom na to da je izrada predloga javne politike deo procesa realizacije projekta.</w:t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after="0" w:line="276" w:lineRule="auto"/>
        <w:ind w:left="720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hd w:fill="ffffff" w:val="clear"/>
        <w:spacing w:after="0" w:line="276" w:lineRule="auto"/>
        <w:ind w:left="720" w:hanging="360"/>
        <w:rPr>
          <w:rFonts w:ascii="Arial" w:cs="Arial" w:eastAsia="Arial" w:hAnsi="Arial"/>
          <w:b w:val="1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sz w:val="19"/>
          <w:szCs w:val="19"/>
          <w:rtl w:val="0"/>
        </w:rPr>
        <w:t xml:space="preserve">Da li se projektna intervencija odnosi samo na izradu novih politika ili je moguće unapređivanje postojećih.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hd w:fill="ffffff" w:val="clear"/>
        <w:spacing w:after="0" w:line="276" w:lineRule="auto"/>
        <w:ind w:left="720" w:hanging="360"/>
        <w:rPr>
          <w:rFonts w:ascii="Arial" w:cs="Arial" w:eastAsia="Arial" w:hAnsi="Arial"/>
          <w:sz w:val="19"/>
          <w:szCs w:val="19"/>
          <w:u w:val="no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Odgovor: Da, projektna intervencija može podrazumevati  izradu novih politik, ali je moguće da predmet intervencije bude i unapredjivanje postojećih.  </w:t>
      </w:r>
    </w:p>
    <w:p w:rsidR="00000000" w:rsidDel="00000000" w:rsidP="00000000" w:rsidRDefault="00000000" w:rsidRPr="00000000" w14:paraId="0000000F">
      <w:pPr>
        <w:widowControl w:val="0"/>
        <w:shd w:fill="ffffff" w:val="clear"/>
        <w:spacing w:after="0" w:line="276" w:lineRule="auto"/>
        <w:ind w:left="720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hd w:fill="ffffff" w:val="clear"/>
        <w:spacing w:after="0" w:line="276" w:lineRule="auto"/>
        <w:ind w:left="720" w:hanging="360"/>
        <w:rPr>
          <w:rFonts w:ascii="Arial" w:cs="Arial" w:eastAsia="Arial" w:hAnsi="Arial"/>
          <w:b w:val="1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sz w:val="19"/>
          <w:szCs w:val="19"/>
          <w:rtl w:val="0"/>
        </w:rPr>
        <w:t xml:space="preserve">Da li ekspertska podrška ulazi u obračun ljudskih resursa ili u programske troškove?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hd w:fill="ffffff" w:val="clear"/>
        <w:spacing w:after="0" w:line="276" w:lineRule="auto"/>
        <w:ind w:left="720" w:hanging="360"/>
        <w:rPr>
          <w:rFonts w:ascii="Arial" w:cs="Arial" w:eastAsia="Arial" w:hAnsi="Arial"/>
          <w:sz w:val="19"/>
          <w:szCs w:val="19"/>
          <w:u w:val="none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Odgovor: Ekspertska podrška ulazi u obračun programskih troškova, a ne u obračun ljudskih resursa. </w:t>
      </w:r>
    </w:p>
    <w:p w:rsidR="00000000" w:rsidDel="00000000" w:rsidP="00000000" w:rsidRDefault="00000000" w:rsidRPr="00000000" w14:paraId="00000012">
      <w:pPr>
        <w:widowControl w:val="0"/>
        <w:shd w:fill="ffffff" w:val="clear"/>
        <w:spacing w:after="0" w:line="276" w:lineRule="auto"/>
        <w:rPr>
          <w:rFonts w:ascii="Arial" w:cs="Arial" w:eastAsia="Arial" w:hAnsi="Arial"/>
          <w:color w:val="888888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hd w:fill="ffffff" w:val="clear"/>
        <w:spacing w:after="0" w:line="276" w:lineRule="auto"/>
        <w:rPr>
          <w:rFonts w:ascii="Arial" w:cs="Arial" w:eastAsia="Arial" w:hAnsi="Arial"/>
          <w:color w:val="4285f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hd w:fill="ffffff" w:val="clear"/>
        <w:spacing w:after="0" w:line="276" w:lineRule="auto"/>
        <w:rPr>
          <w:rFonts w:ascii="Arial" w:cs="Arial" w:eastAsia="Arial" w:hAnsi="Arial"/>
          <w:i w:val="1"/>
          <w:color w:val="4285f4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hd w:fill="ffffff" w:val="clear"/>
        <w:spacing w:after="0" w:line="276" w:lineRule="auto"/>
        <w:rPr>
          <w:rFonts w:ascii="Arial" w:cs="Arial" w:eastAsia="Arial" w:hAnsi="Arial"/>
          <w:color w:val="888888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40" w:before="240"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17" w:top="1417" w:left="1417" w:right="1417" w:header="720" w:footer="1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-223517</wp:posOffset>
          </wp:positionH>
          <wp:positionV relativeFrom="paragraph">
            <wp:posOffset>-48256</wp:posOffset>
          </wp:positionV>
          <wp:extent cx="1304925" cy="495300"/>
          <wp:effectExtent b="0" l="0" r="0" t="0"/>
          <wp:wrapTopAndBottom distB="0" distT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495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2319655</wp:posOffset>
          </wp:positionH>
          <wp:positionV relativeFrom="paragraph">
            <wp:posOffset>-632</wp:posOffset>
          </wp:positionV>
          <wp:extent cx="1666875" cy="400050"/>
          <wp:effectExtent b="0" l="0" r="0" t="0"/>
          <wp:wrapTopAndBottom distB="0" dist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4000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5567680</wp:posOffset>
          </wp:positionH>
          <wp:positionV relativeFrom="paragraph">
            <wp:posOffset>-114931</wp:posOffset>
          </wp:positionV>
          <wp:extent cx="628650" cy="628650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22620" cy="723900"/>
          <wp:effectExtent b="0" l="0" r="0" t="0"/>
          <wp:docPr descr="https://lh7-us.googleusercontent.com/docsz/AD_4nXfJv72Zv-Yb1gWXz_fTX8PRk7WD0-aQOJqNRwHG682VDYQ78TNS51bbWMIcAjD6eFOcM4v8X28gTu6lzeMLclsUdyICF9iUqynE4997gxZ_r4C0pGOXOMeAdGnxvvsa421jl-lwlyi1taZP10Hf-pwLkYgYiWuVCnx7mkUJGQ?key=rtoHz2M3lF0_9hC1m8358w" id="5" name="image5.png"/>
          <a:graphic>
            <a:graphicData uri="http://schemas.openxmlformats.org/drawingml/2006/picture">
              <pic:pic>
                <pic:nvPicPr>
                  <pic:cNvPr descr="https://lh7-us.googleusercontent.com/docsz/AD_4nXfJv72Zv-Yb1gWXz_fTX8PRk7WD0-aQOJqNRwHG682VDYQ78TNS51bbWMIcAjD6eFOcM4v8X28gTu6lzeMLclsUdyICF9iUqynE4997gxZ_r4C0pGOXOMeAdGnxvvsa421jl-lwlyi1taZP10Hf-pwLkYgYiWuVCnx7mkUJGQ?key=rtoHz2M3lF0_9hC1m8358w"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2262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82554</wp:posOffset>
              </wp:positionH>
              <wp:positionV relativeFrom="paragraph">
                <wp:posOffset>38100</wp:posOffset>
              </wp:positionV>
              <wp:extent cx="6067425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0" y="0"/>
                        <a:ext cx="6067425" cy="0"/>
                      </a:xfrm>
                      <a:custGeom>
                        <a:rect b="b" l="l" r="r" t="t"/>
                        <a:pathLst>
                          <a:path extrusionOk="0" h="1" w="6067425">
                            <a:moveTo>
                              <a:pt x="0" y="0"/>
                            </a:moveTo>
                            <a:lnTo>
                              <a:pt x="6067425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38100">
                        <a:solidFill>
                          <a:srgbClr val="9CC2E5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82554</wp:posOffset>
              </wp:positionH>
              <wp:positionV relativeFrom="paragraph">
                <wp:posOffset>38100</wp:posOffset>
              </wp:positionV>
              <wp:extent cx="6067425" cy="1270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674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